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tbl>
      <w:tblPr>
        <w:tblW w:w="9584" w:type="dxa"/>
        <w:jc w:val="left"/>
        <w:tblInd w:w="58" w:type="dxa"/>
        <w:tblLayout w:type="fixed"/>
        <w:tblCellMar>
          <w:top w:w="0" w:type="dxa"/>
          <w:left w:w="0" w:type="dxa"/>
          <w:bottom w:w="0" w:type="dxa"/>
          <w:right w:w="0" w:type="dxa"/>
        </w:tblCellMar>
      </w:tblPr>
      <w:tblGrid>
        <w:gridCol w:w="9584"/>
      </w:tblGrid>
      <w:tr>
        <w:trPr/>
        <w:tc>
          <w:tcPr>
            <w:tcW w:w="9584" w:type="dxa"/>
            <w:tcBorders/>
            <w:vAlign w:val="center"/>
          </w:tcPr>
          <w:p>
            <w:pPr>
              <w:pStyle w:val="TableContents"/>
              <w:widowControl w:val="false"/>
              <w:bidi w:val="0"/>
              <w:spacing w:lineRule="atLeast" w:line="360"/>
              <w:jc w:val="center"/>
              <w:rPr/>
            </w:pPr>
            <w:r>
              <w:rPr>
                <w:rStyle w:val="StrongEmphasis"/>
                <w:rFonts w:ascii="Arial;Helvetica Neue;Helvetica;sans-serif" w:hAnsi="Arial;Helvetica Neue;Helvetica;sans-serif"/>
                <w:color w:val="000000"/>
                <w:sz w:val="23"/>
              </w:rPr>
              <w:t>Minutes of BPSC AGM</w:t>
            </w:r>
          </w:p>
          <w:p>
            <w:pPr>
              <w:pStyle w:val="TableContents"/>
              <w:widowControl w:val="false"/>
              <w:bidi w:val="0"/>
              <w:spacing w:lineRule="atLeast" w:line="360"/>
              <w:jc w:val="center"/>
              <w:rPr/>
            </w:pPr>
            <w:r>
              <w:rPr>
                <w:rStyle w:val="StrongEmphasis"/>
                <w:rFonts w:ascii="Arial;Helvetica Neue;Helvetica;sans-serif" w:hAnsi="Arial;Helvetica Neue;Helvetica;sans-serif"/>
                <w:color w:val="000000"/>
                <w:sz w:val="23"/>
              </w:rPr>
              <w:t>17 November 2021</w:t>
            </w:r>
          </w:p>
          <w:p>
            <w:pPr>
              <w:pStyle w:val="TableContents"/>
              <w:widowControl w:val="false"/>
              <w:bidi w:val="0"/>
              <w:spacing w:lineRule="atLeast" w:line="360"/>
              <w:jc w:val="center"/>
              <w:rPr>
                <w:rStyle w:val="StrongEmphasis"/>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r>
        <w:trPr/>
        <w:tc>
          <w:tcPr>
            <w:tcW w:w="9584" w:type="dxa"/>
            <w:tcBorders/>
            <w:vAlign w:val="center"/>
          </w:tcPr>
          <w:p>
            <w:pPr>
              <w:pStyle w:val="TableContents"/>
              <w:widowControl w:val="false"/>
              <w:bidi w:val="0"/>
              <w:jc w:val="left"/>
              <w:rPr>
                <w:sz w:val="4"/>
                <w:szCs w:val="4"/>
              </w:rPr>
            </w:pPr>
            <w:r>
              <w:rPr>
                <w:sz w:val="4"/>
                <w:szCs w:val="4"/>
              </w:rPr>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b/>
                <w:bCs/>
                <w:color w:val="000000"/>
                <w:sz w:val="23"/>
              </w:rPr>
              <w:t>1. Apologies for absence</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Jo Lingley</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Attendance: Bahir Laattoe, Bronwen Tumani, Allan Lingley, Andy Crowfoot, Francois Evans, Helen McKibbin, Clare Lewis, Mike Chilton, Celine Quarrel, Linda Lingley, Nick Robbins, Tom Sullivan, Amanda Pixner and Richard Pixner</w:t>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p>
            <w:pPr>
              <w:pStyle w:val="TableContents"/>
              <w:widowControl w:val="false"/>
              <w:bidi w:val="0"/>
              <w:spacing w:lineRule="atLeast" w:line="360"/>
              <w:jc w:val="left"/>
              <w:rPr>
                <w:b/>
                <w:b/>
                <w:bCs/>
              </w:rPr>
            </w:pPr>
            <w:r>
              <w:rPr>
                <w:rFonts w:ascii="Arial;Helvetica Neue;Helvetica;sans-serif" w:hAnsi="Arial;Helvetica Neue;Helvetica;sans-serif"/>
                <w:b/>
                <w:bCs/>
                <w:color w:val="000000"/>
                <w:sz w:val="23"/>
              </w:rPr>
              <w:t xml:space="preserve">2. To receive and, if appropriate, adopt the minutes of the last Annual General Meeting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The minutes were adopted on a proposal by Allan and seconded by Mike </w:t>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p>
            <w:pPr>
              <w:pStyle w:val="TableContents"/>
              <w:widowControl w:val="false"/>
              <w:bidi w:val="0"/>
              <w:spacing w:lineRule="atLeast" w:line="360"/>
              <w:jc w:val="left"/>
              <w:rPr>
                <w:b/>
                <w:b/>
                <w:bCs/>
              </w:rPr>
            </w:pPr>
            <w:r>
              <w:rPr>
                <w:rFonts w:ascii="Arial;Helvetica Neue;Helvetica;sans-serif" w:hAnsi="Arial;Helvetica Neue;Helvetica;sans-serif"/>
                <w:b/>
                <w:bCs/>
                <w:color w:val="000000"/>
                <w:sz w:val="23"/>
              </w:rPr>
              <w:t xml:space="preserve">3. To receive the reports of the activities of the Club during the preceding year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b/>
                <w:bCs/>
                <w:color w:val="000000"/>
                <w:sz w:val="23"/>
              </w:rPr>
              <w:t>Chair’s Report</w:t>
            </w:r>
            <w:r>
              <w:rPr>
                <w:rFonts w:ascii="Arial;Helvetica Neue;Helvetica;sans-serif" w:hAnsi="Arial;Helvetica Neue;Helvetica;sans-serif"/>
                <w:color w:val="000000"/>
                <w:sz w:val="23"/>
              </w:rPr>
              <w:t xml:space="preserve"> was circulated on screen.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The chair reviewed: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1 Club’s safe return to the pool after lockdowns.</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2. The club’s financial situation and fundraising during Covid.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3. Stronger Affiliation. The need to conform to Swim England safety and club standards.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4. The Website – now reverting back to Team Unify thanks to our Web Admin supremo, Francois.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The chair thanked everyone who helped out in the club, including the coaches.  </w:t>
            </w:r>
          </w:p>
          <w:p>
            <w:pPr>
              <w:pStyle w:val="TableContents"/>
              <w:widowControl w:val="false"/>
              <w:bidi w:val="0"/>
              <w:spacing w:lineRule="atLeast" w:line="360"/>
              <w:jc w:val="left"/>
              <w:rPr>
                <w:b/>
                <w:b/>
                <w:bCs/>
              </w:rPr>
            </w:pPr>
            <w:r>
              <w:rPr>
                <w:rFonts w:ascii="Arial;Helvetica Neue;Helvetica;sans-serif" w:hAnsi="Arial;Helvetica Neue;Helvetica;sans-serif"/>
                <w:b/>
                <w:bCs/>
                <w:color w:val="000000"/>
                <w:sz w:val="23"/>
              </w:rPr>
              <w:t>Head Coach Report</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We have had a phenomenal year. But the Covid period was difficult. Learn to Swim presents some challenges because few of those are progressing to the competitive squads. The club also lost good swimmers during the pandemic. The club is in a new situation of having to rebuild. </w:t>
            </w:r>
          </w:p>
          <w:p>
            <w:pPr>
              <w:pStyle w:val="TableContents"/>
              <w:widowControl w:val="false"/>
              <w:bidi w:val="0"/>
              <w:spacing w:lineRule="atLeast" w:line="360"/>
              <w:jc w:val="left"/>
              <w:rPr/>
            </w:pPr>
            <w:r>
              <w:rPr>
                <w:rFonts w:ascii="Arial;Helvetica Neue;Helvetica;sans-serif" w:hAnsi="Arial;Helvetica Neue;Helvetica;sans-serif"/>
                <w:b/>
                <w:bCs/>
                <w:color w:val="000000"/>
                <w:sz w:val="23"/>
              </w:rPr>
              <w:t>Finance Report</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The trajectory is downward at the moment. As was the case last year as well. The financial outlook for the club is tough. Our biggest challenge </w:t>
            </w:r>
            <w:r>
              <w:rPr>
                <w:rFonts w:ascii="Arial;Helvetica Neue;Helvetica;sans-serif" w:hAnsi="Arial;Helvetica Neue;Helvetica;sans-serif"/>
                <w:color w:val="000000"/>
                <w:sz w:val="23"/>
              </w:rPr>
              <w:t>is that</w:t>
            </w:r>
            <w:r>
              <w:rPr>
                <w:rFonts w:ascii="Arial;Helvetica Neue;Helvetica;sans-serif" w:hAnsi="Arial;Helvetica Neue;Helvetica;sans-serif"/>
                <w:color w:val="000000"/>
                <w:sz w:val="23"/>
              </w:rPr>
              <w:t xml:space="preserve"> QE Pool is not financially viable at the moment because of the limits on number of swimmers allowed in the pool during and coming out of the pandemic. We have a new swimming slot which will hopefully work well. As a club we have difficult decisions to make because we are not in a healthy position financially.  We already have extra costs.  And we can expect pool costs to go up. Nick thanked Kusum Maini who helped to sign off our club’s payments and gave support with checking the club’s finances. Nick answered questions which were raised from the floor. He explained that the club has a waiting list for new members but there is no spare capacity because of our restrictions on numbers allowed to swim at any one time.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The Annual Reports were accepted unanimousy with Francois proposing and Mike seconding.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r>
        <w:trPr/>
        <w:tc>
          <w:tcPr>
            <w:tcW w:w="9584" w:type="dxa"/>
            <w:tcBorders/>
            <w:vAlign w:val="center"/>
          </w:tcPr>
          <w:p>
            <w:pPr>
              <w:pStyle w:val="TableContents"/>
              <w:widowControl w:val="false"/>
              <w:bidi w:val="0"/>
              <w:spacing w:lineRule="atLeast" w:line="360"/>
              <w:jc w:val="left"/>
              <w:rPr>
                <w:b/>
                <w:b/>
                <w:bCs/>
              </w:rPr>
            </w:pPr>
            <w:r>
              <w:rPr>
                <w:rFonts w:ascii="Arial;Helvetica Neue;Helvetica;sans-serif" w:hAnsi="Arial;Helvetica Neue;Helvetica;sans-serif"/>
                <w:b/>
                <w:bCs/>
                <w:color w:val="000000"/>
                <w:sz w:val="23"/>
              </w:rPr>
              <w:t xml:space="preserve">4. To elect the Officers of the Club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All those who stood for re-election were returned unopposed. But the Committee still has serious problems because we are still desperate for more volunteers to fill vacant posts. </w:t>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p>
            <w:pPr>
              <w:pStyle w:val="TableContents"/>
              <w:widowControl w:val="false"/>
              <w:bidi w:val="0"/>
              <w:spacing w:lineRule="atLeast" w:line="360"/>
              <w:jc w:val="left"/>
              <w:rPr>
                <w:b/>
                <w:b/>
                <w:bCs/>
              </w:rPr>
            </w:pPr>
            <w:r>
              <w:rPr>
                <w:rFonts w:ascii="Arial;Helvetica Neue;Helvetica;sans-serif" w:hAnsi="Arial;Helvetica Neue;Helvetica;sans-serif"/>
                <w:b/>
                <w:bCs/>
                <w:color w:val="000000"/>
                <w:sz w:val="23"/>
              </w:rPr>
              <w:t xml:space="preserve">5. To confirm the Auditors for the next year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CommunityBarnet  was agreed. Proposed by Nick, seconded by Linda Lingley. </w:t>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p>
            <w:pPr>
              <w:pStyle w:val="TableContents"/>
              <w:widowControl w:val="false"/>
              <w:bidi w:val="0"/>
              <w:spacing w:lineRule="atLeast" w:line="360"/>
              <w:jc w:val="left"/>
              <w:rPr>
                <w:b/>
                <w:b/>
                <w:bCs/>
              </w:rPr>
            </w:pPr>
            <w:r>
              <w:rPr>
                <w:rFonts w:ascii="Arial;Helvetica Neue;Helvetica;sans-serif" w:hAnsi="Arial;Helvetica Neue;Helvetica;sans-serif"/>
                <w:b/>
                <w:bCs/>
                <w:color w:val="000000"/>
                <w:sz w:val="23"/>
              </w:rPr>
              <w:t>6. Any other business</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t xml:space="preserve">We agreed to send a thank you card to Kusum. The Committee expressed its thanks to David Moyles and Shiromi Patel for their hard work. We expressed our appreciation for the work of Anna, our outgoing LTS Co-ordinator. </w:t>
            </w:r>
          </w:p>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r>
        <w:trPr/>
        <w:tc>
          <w:tcPr>
            <w:tcW w:w="9584" w:type="dxa"/>
            <w:tcBorders/>
            <w:vAlign w:val="center"/>
          </w:tcPr>
          <w:p>
            <w:pPr>
              <w:pStyle w:val="TableContents"/>
              <w:widowControl w:val="false"/>
              <w:bidi w:val="0"/>
              <w:jc w:val="left"/>
              <w:rPr>
                <w:sz w:val="4"/>
                <w:szCs w:val="4"/>
              </w:rPr>
            </w:pPr>
            <w:r>
              <w:rPr>
                <w:sz w:val="4"/>
                <w:szCs w:val="4"/>
              </w:rPr>
            </w:r>
          </w:p>
        </w:tc>
      </w:tr>
      <w:tr>
        <w:trPr/>
        <w:tc>
          <w:tcPr>
            <w:tcW w:w="9584" w:type="dxa"/>
            <w:tcBorders/>
            <w:vAlign w:val="center"/>
          </w:tcPr>
          <w:p>
            <w:pPr>
              <w:pStyle w:val="TableContents"/>
              <w:widowControl w:val="false"/>
              <w:bidi w:val="0"/>
              <w:spacing w:lineRule="atLeast" w:line="360"/>
              <w:jc w:val="left"/>
              <w:rPr>
                <w:rStyle w:val="StrongEmphasis"/>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r>
        <w:trPr/>
        <w:tc>
          <w:tcPr>
            <w:tcW w:w="9584" w:type="dxa"/>
            <w:tcBorders/>
            <w:vAlign w:val="center"/>
          </w:tcPr>
          <w:p>
            <w:pPr>
              <w:pStyle w:val="TableContents"/>
              <w:widowControl w:val="false"/>
              <w:bidi w:val="0"/>
              <w:jc w:val="left"/>
              <w:rPr>
                <w:sz w:val="4"/>
                <w:szCs w:val="4"/>
              </w:rPr>
            </w:pPr>
            <w:r>
              <w:rPr>
                <w:sz w:val="4"/>
                <w:szCs w:val="4"/>
              </w:rPr>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r>
        <w:trPr/>
        <w:tc>
          <w:tcPr>
            <w:tcW w:w="9584" w:type="dxa"/>
            <w:tcBorders/>
            <w:vAlign w:val="center"/>
          </w:tcPr>
          <w:p>
            <w:pPr>
              <w:pStyle w:val="TableContents"/>
              <w:widowControl w:val="false"/>
              <w:bidi w:val="0"/>
              <w:jc w:val="left"/>
              <w:rPr>
                <w:sz w:val="4"/>
                <w:szCs w:val="4"/>
              </w:rPr>
            </w:pPr>
            <w:r>
              <w:rPr>
                <w:sz w:val="4"/>
                <w:szCs w:val="4"/>
              </w:rPr>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r>
        <w:trPr/>
        <w:tc>
          <w:tcPr>
            <w:tcW w:w="9584" w:type="dxa"/>
            <w:tcBorders/>
            <w:vAlign w:val="center"/>
          </w:tcPr>
          <w:p>
            <w:pPr>
              <w:pStyle w:val="TableContents"/>
              <w:widowControl w:val="false"/>
              <w:bidi w:val="0"/>
              <w:jc w:val="left"/>
              <w:rPr>
                <w:sz w:val="4"/>
                <w:szCs w:val="4"/>
              </w:rPr>
            </w:pPr>
            <w:r>
              <w:rPr>
                <w:sz w:val="4"/>
                <w:szCs w:val="4"/>
              </w:rPr>
            </w:r>
          </w:p>
        </w:tc>
      </w:tr>
      <w:tr>
        <w:trPr/>
        <w:tc>
          <w:tcPr>
            <w:tcW w:w="9584" w:type="dxa"/>
            <w:tcBorders/>
            <w:vAlign w:val="center"/>
          </w:tcPr>
          <w:p>
            <w:pPr>
              <w:pStyle w:val="TableContents"/>
              <w:widowControl w:val="false"/>
              <w:bidi w:val="0"/>
              <w:spacing w:lineRule="atLeast" w:line="360"/>
              <w:jc w:val="left"/>
              <w:rPr>
                <w:rFonts w:ascii="Arial;Helvetica Neue;Helvetica;sans-serif" w:hAnsi="Arial;Helvetica Neue;Helvetica;sans-serif"/>
                <w:color w:val="000000"/>
                <w:sz w:val="23"/>
              </w:rPr>
            </w:pPr>
            <w:r>
              <w:rPr>
                <w:rFonts w:ascii="Arial;Helvetica Neue;Helvetica;sans-serif" w:hAnsi="Arial;Helvetica Neue;Helvetica;sans-serif"/>
                <w:color w:val="000000"/>
                <w:sz w:val="23"/>
              </w:rPr>
            </w:r>
          </w:p>
        </w:tc>
      </w:tr>
    </w:tbl>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altName w:val="Helvetica Neue"/>
    <w:charset w:val="01"/>
    <w:family w:val="roman"/>
    <w:pitch w:val="variable"/>
  </w:font>
</w:fonts>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TotalTime>
  <Application>LibreOffice/7.3.6.2$Linux_AARCH64 LibreOffice_project/30$Build-2</Application>
  <AppVersion>15.0000</AppVersion>
  <Pages>2</Pages>
  <Words>477</Words>
  <Characters>2338</Characters>
  <CharactersWithSpaces>2812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2021-11-29T16:19:31Z</dcterms:created>
  <dc:creator/>
  <dc:description/>
  <dc:language>en-GB</dc:language>
  <cp:lastModifiedBy/>
  <dcterms:modified xsi:type="dcterms:W3CDTF">2022-11-11T12:15:02Z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